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BB20C">
      <w:pPr>
        <w:spacing w:line="500" w:lineRule="exact"/>
        <w:rPr>
          <w:rFonts w:hint="eastAsia" w:ascii="方正小标宋简体" w:hAnsi="方正小标宋简体" w:eastAsia="方正小标宋简体" w:cs="方正小标宋简体"/>
          <w:kern w:val="2"/>
          <w:sz w:val="44"/>
          <w:szCs w:val="44"/>
          <w:lang w:eastAsia="zh-CN" w:bidi="ar-SA"/>
        </w:rPr>
      </w:pPr>
      <w:r>
        <w:rPr>
          <w:rFonts w:hint="eastAsia" w:ascii="黑体" w:hAnsi="宋体" w:eastAsia="黑体" w:cs="黑体"/>
          <w:sz w:val="28"/>
          <w:szCs w:val="28"/>
          <w:lang w:bidi="ar"/>
        </w:rPr>
        <w:t>附件</w:t>
      </w:r>
      <w:r>
        <w:rPr>
          <w:rFonts w:hint="eastAsia" w:ascii="黑体" w:hAnsi="宋体" w:eastAsia="黑体" w:cs="黑体"/>
          <w:sz w:val="28"/>
          <w:szCs w:val="28"/>
          <w:lang w:val="en-US" w:eastAsia="zh-CN" w:bidi="ar"/>
        </w:rPr>
        <w:t>9：</w:t>
      </w:r>
    </w:p>
    <w:p w14:paraId="5246E583">
      <w:pPr>
        <w:widowControl w:val="0"/>
        <w:spacing w:after="0" w:line="240" w:lineRule="auto"/>
        <w:jc w:val="center"/>
        <w:rPr>
          <w:rFonts w:ascii="方正小标宋简体" w:hAnsi="方正小标宋简体" w:eastAsia="方正小标宋简体" w:cs="方正小标宋简体"/>
          <w:kern w:val="2"/>
          <w:sz w:val="44"/>
          <w:szCs w:val="44"/>
          <w:lang w:eastAsia="zh-CN" w:bidi="ar-SA"/>
        </w:rPr>
      </w:pPr>
      <w:r>
        <w:rPr>
          <w:rFonts w:hint="eastAsia" w:ascii="方正小标宋简体" w:hAnsi="方正小标宋简体" w:eastAsia="方正小标宋简体" w:cs="方正小标宋简体"/>
          <w:kern w:val="2"/>
          <w:sz w:val="44"/>
          <w:szCs w:val="44"/>
          <w:lang w:eastAsia="zh-CN" w:bidi="ar-SA"/>
        </w:rPr>
        <w:t>山东第二医科大学竞争性磋商评分标准</w:t>
      </w:r>
    </w:p>
    <w:p w14:paraId="04DFAD55">
      <w:pPr>
        <w:pStyle w:val="12"/>
        <w:adjustRightInd w:val="0"/>
        <w:snapToGrid w:val="0"/>
        <w:spacing w:after="0" w:line="560" w:lineRule="exact"/>
        <w:ind w:firstLine="640" w:firstLineChars="200"/>
        <w:rPr>
          <w:rFonts w:ascii="仿宋_GB2312" w:hAnsi="仿宋_GB2312" w:eastAsia="仿宋_GB2312" w:cs="仿宋_GB2312"/>
          <w:sz w:val="32"/>
          <w:szCs w:val="32"/>
          <w:lang w:eastAsia="zh-CN"/>
        </w:rPr>
      </w:pPr>
    </w:p>
    <w:p w14:paraId="14094815">
      <w:pPr>
        <w:widowControl w:val="0"/>
        <w:autoSpaceDE w:val="0"/>
        <w:spacing w:after="0" w:line="560" w:lineRule="exact"/>
        <w:ind w:firstLine="640"/>
        <w:jc w:val="both"/>
        <w:rPr>
          <w:rFonts w:ascii="仿宋_GB2312" w:hAnsi="仿宋_GB2312" w:eastAsia="仿宋_GB2312" w:cs="仿宋_GB2312"/>
          <w:kern w:val="2"/>
          <w:sz w:val="32"/>
          <w:szCs w:val="32"/>
          <w:lang w:eastAsia="zh-CN" w:bidi="ar-SA"/>
        </w:rPr>
      </w:pPr>
      <w:r>
        <w:rPr>
          <w:rFonts w:hint="eastAsia" w:ascii="仿宋_GB2312" w:hAnsi="仿宋_GB2312" w:eastAsia="仿宋_GB2312" w:cs="仿宋_GB2312"/>
          <w:kern w:val="2"/>
          <w:sz w:val="32"/>
          <w:szCs w:val="32"/>
          <w:lang w:eastAsia="zh-CN" w:bidi="ar-SA"/>
        </w:rPr>
        <w:t>本项目采用</w:t>
      </w:r>
      <w:r>
        <w:rPr>
          <w:rFonts w:hint="eastAsia" w:ascii="仿宋_GB2312" w:hAnsi="仿宋_GB2312" w:eastAsia="仿宋_GB2312" w:cs="仿宋_GB2312"/>
          <w:b/>
          <w:bCs/>
          <w:kern w:val="2"/>
          <w:sz w:val="32"/>
          <w:szCs w:val="32"/>
          <w:lang w:eastAsia="zh-CN" w:bidi="ar-SA"/>
        </w:rPr>
        <w:t>综合评分法</w:t>
      </w:r>
      <w:r>
        <w:rPr>
          <w:rFonts w:hint="eastAsia" w:ascii="仿宋_GB2312" w:hAnsi="仿宋_GB2312" w:eastAsia="仿宋_GB2312" w:cs="仿宋_GB2312"/>
          <w:kern w:val="2"/>
          <w:sz w:val="32"/>
          <w:szCs w:val="32"/>
          <w:lang w:eastAsia="zh-CN" w:bidi="ar-SA"/>
        </w:rPr>
        <w:t>。综合评分法是指响应文件满足磋商文件全部实质性要求前提下，按评审因素的量化指标进行综合评分。</w:t>
      </w:r>
    </w:p>
    <w:tbl>
      <w:tblPr>
        <w:tblStyle w:val="6"/>
        <w:tblW w:w="91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557"/>
        <w:gridCol w:w="7543"/>
      </w:tblGrid>
      <w:tr w14:paraId="7D9A6E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2" w:hRule="atLeast"/>
          <w:jc w:val="center"/>
        </w:trPr>
        <w:tc>
          <w:tcPr>
            <w:tcW w:w="1557" w:type="dxa"/>
            <w:tcBorders>
              <w:top w:val="single" w:color="auto" w:sz="4" w:space="0"/>
              <w:left w:val="single" w:color="auto" w:sz="4" w:space="0"/>
              <w:bottom w:val="single" w:color="auto" w:sz="4" w:space="0"/>
              <w:right w:val="single" w:color="auto" w:sz="4" w:space="0"/>
            </w:tcBorders>
            <w:vAlign w:val="center"/>
          </w:tcPr>
          <w:p w14:paraId="431F1BEE">
            <w:pPr>
              <w:spacing w:after="0" w:line="15" w:lineRule="auto"/>
              <w:jc w:val="center"/>
              <w:rPr>
                <w:rFonts w:ascii="宋体" w:hAnsi="宋体" w:cs="宋体"/>
                <w:b/>
                <w:bCs/>
                <w:szCs w:val="21"/>
              </w:rPr>
            </w:pPr>
            <w:r>
              <w:rPr>
                <w:rFonts w:hint="eastAsia" w:ascii="宋体" w:hAnsi="宋体" w:cs="宋体"/>
                <w:b/>
                <w:bCs/>
                <w:szCs w:val="21"/>
              </w:rPr>
              <w:t>名称</w:t>
            </w:r>
          </w:p>
        </w:tc>
        <w:tc>
          <w:tcPr>
            <w:tcW w:w="7543" w:type="dxa"/>
            <w:tcBorders>
              <w:top w:val="single" w:color="auto" w:sz="4" w:space="0"/>
              <w:left w:val="single" w:color="auto" w:sz="4" w:space="0"/>
              <w:bottom w:val="single" w:color="auto" w:sz="4" w:space="0"/>
              <w:right w:val="single" w:color="auto" w:sz="4" w:space="0"/>
            </w:tcBorders>
            <w:vAlign w:val="center"/>
          </w:tcPr>
          <w:p w14:paraId="1B7F4C2F">
            <w:pPr>
              <w:spacing w:after="0" w:line="15" w:lineRule="auto"/>
              <w:jc w:val="center"/>
              <w:rPr>
                <w:rFonts w:ascii="宋体" w:hAnsi="宋体" w:cs="宋体"/>
                <w:b/>
                <w:bCs/>
                <w:szCs w:val="21"/>
              </w:rPr>
            </w:pPr>
            <w:r>
              <w:rPr>
                <w:rFonts w:hint="eastAsia" w:ascii="宋体" w:hAnsi="宋体" w:cs="宋体"/>
                <w:b/>
                <w:bCs/>
                <w:szCs w:val="21"/>
              </w:rPr>
              <w:t>内容</w:t>
            </w:r>
          </w:p>
        </w:tc>
      </w:tr>
      <w:tr w14:paraId="140748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57" w:type="dxa"/>
            <w:tcBorders>
              <w:top w:val="single" w:color="auto" w:sz="4" w:space="0"/>
              <w:left w:val="single" w:color="auto" w:sz="4" w:space="0"/>
              <w:right w:val="single" w:color="auto" w:sz="4" w:space="0"/>
            </w:tcBorders>
            <w:vAlign w:val="center"/>
          </w:tcPr>
          <w:p w14:paraId="289E81B8">
            <w:pPr>
              <w:spacing w:line="360" w:lineRule="auto"/>
              <w:jc w:val="center"/>
              <w:rPr>
                <w:rFonts w:ascii="宋体" w:hAnsi="宋体" w:cs="宋体"/>
                <w:b/>
                <w:bCs/>
                <w:szCs w:val="21"/>
              </w:rPr>
            </w:pPr>
            <w:r>
              <w:rPr>
                <w:rFonts w:hint="eastAsia" w:ascii="宋体" w:hAnsi="宋体" w:cs="宋体"/>
                <w:b/>
                <w:bCs/>
                <w:szCs w:val="21"/>
                <w:lang w:val="en-US" w:eastAsia="zh-CN"/>
              </w:rPr>
              <w:t>磋商</w:t>
            </w:r>
            <w:r>
              <w:rPr>
                <w:rFonts w:hint="eastAsia" w:ascii="宋体" w:hAnsi="宋体" w:cs="宋体"/>
                <w:b/>
                <w:bCs/>
                <w:szCs w:val="21"/>
              </w:rPr>
              <w:t>报价1</w:t>
            </w:r>
          </w:p>
          <w:p w14:paraId="63E340FD">
            <w:pPr>
              <w:spacing w:line="360" w:lineRule="auto"/>
              <w:jc w:val="center"/>
              <w:rPr>
                <w:rFonts w:ascii="宋体" w:hAnsi="宋体" w:cs="宋体"/>
                <w:szCs w:val="21"/>
              </w:rPr>
            </w:pPr>
            <w:r>
              <w:rPr>
                <w:rFonts w:hint="eastAsia" w:ascii="宋体" w:hAnsi="宋体" w:cs="宋体"/>
                <w:b/>
                <w:bCs/>
                <w:szCs w:val="21"/>
              </w:rPr>
              <w:t>得分</w:t>
            </w:r>
            <w:r>
              <w:rPr>
                <w:rFonts w:hint="eastAsia" w:ascii="宋体" w:hAnsi="宋体" w:cs="宋体"/>
                <w:b/>
                <w:bCs/>
                <w:szCs w:val="21"/>
                <w:lang w:eastAsia="zh-CN"/>
              </w:rPr>
              <w:t>2</w:t>
            </w:r>
            <w:r>
              <w:rPr>
                <w:rFonts w:hint="eastAsia" w:ascii="宋体" w:hAnsi="宋体" w:cs="宋体"/>
                <w:b/>
                <w:bCs/>
                <w:szCs w:val="21"/>
              </w:rPr>
              <w:t>0</w:t>
            </w:r>
          </w:p>
        </w:tc>
        <w:tc>
          <w:tcPr>
            <w:tcW w:w="7543" w:type="dxa"/>
            <w:tcBorders>
              <w:top w:val="single" w:color="auto" w:sz="4" w:space="0"/>
              <w:left w:val="single" w:color="auto" w:sz="4" w:space="0"/>
              <w:right w:val="single" w:color="auto" w:sz="4" w:space="0"/>
            </w:tcBorders>
            <w:vAlign w:val="center"/>
          </w:tcPr>
          <w:p w14:paraId="20411F40">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满足磋商文件要求且有效最终报价最低的工程审计咨询单位的价格为磋商基准价，其得分为满分20分。</w:t>
            </w:r>
          </w:p>
          <w:p w14:paraId="7D589EF5">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其他工程审计咨询单位的价格得分统一按照本公式计算：磋商报价得分=（磋商基准价/最终磋商报价）×价格权值×100%</w:t>
            </w:r>
          </w:p>
          <w:p w14:paraId="4BD70C7F">
            <w:pPr>
              <w:pStyle w:val="3"/>
              <w:spacing w:after="0" w:line="312" w:lineRule="auto"/>
              <w:ind w:firstLine="420" w:firstLineChars="200"/>
              <w:rPr>
                <w:rFonts w:hAnsi="宋体" w:cs="宋体"/>
                <w:color w:val="FF0000"/>
                <w:sz w:val="21"/>
                <w:szCs w:val="21"/>
                <w:lang w:eastAsia="zh-CN"/>
              </w:rPr>
            </w:pPr>
            <w:r>
              <w:rPr>
                <w:rFonts w:hint="eastAsia" w:hAnsi="宋体" w:cs="宋体"/>
                <w:color w:val="000000"/>
                <w:sz w:val="21"/>
                <w:szCs w:val="21"/>
                <w:lang w:eastAsia="zh-CN"/>
              </w:rPr>
              <w:t>符合价格优惠政策的，以调整后的价格计算磋商基准价和磋商报价。</w:t>
            </w:r>
          </w:p>
        </w:tc>
      </w:tr>
      <w:tr w14:paraId="2CBD9C1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557" w:type="dxa"/>
            <w:tcBorders>
              <w:top w:val="single" w:color="auto" w:sz="4" w:space="0"/>
              <w:left w:val="single" w:color="auto" w:sz="4" w:space="0"/>
              <w:right w:val="single" w:color="auto" w:sz="4" w:space="0"/>
            </w:tcBorders>
            <w:vAlign w:val="center"/>
          </w:tcPr>
          <w:p w14:paraId="767F5EDE">
            <w:pPr>
              <w:spacing w:line="360" w:lineRule="auto"/>
              <w:jc w:val="center"/>
              <w:rPr>
                <w:rFonts w:ascii="宋体" w:hAnsi="宋体" w:cs="宋体"/>
                <w:b/>
                <w:bCs/>
                <w:szCs w:val="21"/>
              </w:rPr>
            </w:pPr>
            <w:r>
              <w:rPr>
                <w:rFonts w:hint="eastAsia" w:ascii="宋体" w:hAnsi="宋体" w:cs="宋体"/>
                <w:b/>
                <w:bCs/>
                <w:szCs w:val="21"/>
                <w:lang w:val="en-US" w:eastAsia="zh-CN"/>
              </w:rPr>
              <w:t>磋商</w:t>
            </w:r>
            <w:r>
              <w:rPr>
                <w:rFonts w:hint="eastAsia" w:ascii="宋体" w:hAnsi="宋体" w:cs="宋体"/>
                <w:b/>
                <w:bCs/>
                <w:szCs w:val="21"/>
              </w:rPr>
              <w:t>报价2</w:t>
            </w:r>
          </w:p>
          <w:p w14:paraId="0F67586C">
            <w:pPr>
              <w:spacing w:line="360" w:lineRule="auto"/>
              <w:jc w:val="center"/>
              <w:rPr>
                <w:rFonts w:ascii="宋体" w:hAnsi="宋体" w:cs="宋体"/>
                <w:b/>
                <w:bCs/>
                <w:szCs w:val="21"/>
              </w:rPr>
            </w:pPr>
            <w:r>
              <w:rPr>
                <w:rFonts w:hint="eastAsia" w:ascii="宋体" w:hAnsi="宋体" w:cs="宋体"/>
                <w:b/>
                <w:bCs/>
                <w:szCs w:val="21"/>
              </w:rPr>
              <w:t>得分</w:t>
            </w:r>
            <w:r>
              <w:rPr>
                <w:rFonts w:hint="eastAsia" w:ascii="宋体" w:hAnsi="宋体" w:cs="宋体"/>
                <w:b/>
                <w:bCs/>
                <w:szCs w:val="21"/>
                <w:lang w:eastAsia="zh-CN"/>
              </w:rPr>
              <w:t>2</w:t>
            </w:r>
            <w:r>
              <w:rPr>
                <w:rFonts w:hint="eastAsia" w:ascii="宋体" w:hAnsi="宋体" w:cs="宋体"/>
                <w:b/>
                <w:bCs/>
                <w:szCs w:val="21"/>
              </w:rPr>
              <w:t>0</w:t>
            </w:r>
          </w:p>
        </w:tc>
        <w:tc>
          <w:tcPr>
            <w:tcW w:w="7543" w:type="dxa"/>
            <w:tcBorders>
              <w:top w:val="single" w:color="auto" w:sz="4" w:space="0"/>
              <w:left w:val="single" w:color="auto" w:sz="4" w:space="0"/>
              <w:right w:val="single" w:color="auto" w:sz="4" w:space="0"/>
            </w:tcBorders>
            <w:vAlign w:val="center"/>
          </w:tcPr>
          <w:p w14:paraId="0AB7DEC3">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满足磋商文件要求且有效最终报价最低的工程审计咨询单位的价格为磋商基准价，其得分为满分20分。</w:t>
            </w:r>
          </w:p>
          <w:p w14:paraId="4AE982CE">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其他工程审计咨询单位的价格得分统一按照本公式计算：磋商报价得分=（磋商基准价/最终磋商报价）×价格权值×100%</w:t>
            </w:r>
          </w:p>
          <w:p w14:paraId="7B4BF9DD">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符合价格优惠政策的，以调整后的价格计算磋商基准价和磋商报价。</w:t>
            </w:r>
          </w:p>
        </w:tc>
      </w:tr>
      <w:tr w14:paraId="059197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tcBorders>
              <w:top w:val="single" w:color="auto" w:sz="4" w:space="0"/>
              <w:left w:val="single" w:color="auto" w:sz="4" w:space="0"/>
              <w:bottom w:val="single" w:color="auto" w:sz="4" w:space="0"/>
              <w:right w:val="single" w:color="auto" w:sz="4" w:space="0"/>
            </w:tcBorders>
            <w:vAlign w:val="center"/>
          </w:tcPr>
          <w:p w14:paraId="011A855D">
            <w:pPr>
              <w:spacing w:line="360" w:lineRule="auto"/>
              <w:jc w:val="center"/>
              <w:rPr>
                <w:rFonts w:ascii="宋体" w:hAnsi="宋体" w:cs="宋体"/>
                <w:b/>
                <w:bCs/>
                <w:szCs w:val="21"/>
              </w:rPr>
            </w:pPr>
            <w:r>
              <w:rPr>
                <w:rFonts w:hint="eastAsia" w:ascii="宋体" w:hAnsi="宋体" w:cs="宋体"/>
                <w:b/>
                <w:bCs/>
                <w:szCs w:val="21"/>
              </w:rPr>
              <w:t>服务人员配备</w:t>
            </w:r>
          </w:p>
          <w:p w14:paraId="717AF42F">
            <w:pPr>
              <w:spacing w:line="360" w:lineRule="auto"/>
              <w:jc w:val="center"/>
              <w:rPr>
                <w:rFonts w:ascii="宋体" w:hAnsi="宋体" w:cs="宋体"/>
                <w:b/>
                <w:bCs/>
                <w:szCs w:val="21"/>
              </w:rPr>
            </w:pPr>
            <w:r>
              <w:rPr>
                <w:rFonts w:ascii="宋体" w:hAnsi="宋体" w:cs="宋体"/>
                <w:b/>
                <w:bCs/>
                <w:szCs w:val="21"/>
              </w:rPr>
              <w:t>2</w:t>
            </w:r>
            <w:r>
              <w:rPr>
                <w:rFonts w:hint="eastAsia" w:ascii="宋体" w:hAnsi="宋体" w:cs="宋体"/>
                <w:b/>
                <w:bCs/>
                <w:szCs w:val="21"/>
              </w:rPr>
              <w:t>0</w:t>
            </w:r>
          </w:p>
        </w:tc>
        <w:tc>
          <w:tcPr>
            <w:tcW w:w="7543" w:type="dxa"/>
            <w:tcBorders>
              <w:top w:val="single" w:color="auto" w:sz="4" w:space="0"/>
              <w:left w:val="single" w:color="auto" w:sz="4" w:space="0"/>
              <w:bottom w:val="single" w:color="auto" w:sz="4" w:space="0"/>
              <w:right w:val="single" w:color="auto" w:sz="4" w:space="0"/>
            </w:tcBorders>
            <w:vAlign w:val="center"/>
          </w:tcPr>
          <w:p w14:paraId="14F6A025">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考核项目组人员配备情况，其素质、能力、经验响应本项目要求的程度。</w:t>
            </w:r>
          </w:p>
          <w:p w14:paraId="546A6E34">
            <w:pPr>
              <w:pStyle w:val="3"/>
              <w:spacing w:after="0" w:line="312" w:lineRule="auto"/>
              <w:ind w:firstLine="420" w:firstLineChars="200"/>
              <w:rPr>
                <w:rFonts w:hint="default" w:hAnsi="宋体" w:cs="宋体"/>
                <w:color w:val="000000"/>
                <w:sz w:val="21"/>
                <w:szCs w:val="21"/>
                <w:lang w:val="en-US" w:eastAsia="zh-CN"/>
              </w:rPr>
            </w:pPr>
            <w:r>
              <w:rPr>
                <w:rFonts w:hint="eastAsia" w:hAnsi="宋体" w:cs="宋体"/>
                <w:color w:val="000000"/>
                <w:sz w:val="21"/>
                <w:szCs w:val="21"/>
                <w:lang w:eastAsia="zh-CN"/>
              </w:rPr>
              <w:t>项目组人员必须为本单位正式职工，安装、土建、装饰专业至少各一名。</w:t>
            </w:r>
          </w:p>
          <w:p w14:paraId="121294AA">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 xml:space="preserve">1.从业年限与工作经历：须有5年以上工程审计咨询单位从业经历。 </w:t>
            </w:r>
          </w:p>
          <w:p w14:paraId="6DDDF414">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2.年龄：30-45周岁</w:t>
            </w:r>
          </w:p>
          <w:p w14:paraId="76E9978D">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3.职称：中级及以上工程师。</w:t>
            </w:r>
          </w:p>
          <w:p w14:paraId="7A67F8D3">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4.专业资格证书：具有一级造价师证书。</w:t>
            </w:r>
          </w:p>
          <w:p w14:paraId="01C1B98E">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5.毕业证：相关专业本科及以上。</w:t>
            </w:r>
          </w:p>
          <w:p w14:paraId="7FF83CA5">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6.项目负责人必须是完成本项目的人，项目进行中不能更换。</w:t>
            </w:r>
          </w:p>
          <w:p w14:paraId="713B91C2">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7.提供5项以上2023年1月1日至投标截止之日为项目负责人的学校项目工程审计结算报告，做为业绩。</w:t>
            </w:r>
          </w:p>
          <w:p w14:paraId="1553AE26">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得基本分15分。在此基础上，每增加1名一级造价工程师，加2.5分，最多加5分。</w:t>
            </w:r>
          </w:p>
          <w:p w14:paraId="464CA638">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注册证书须提供原件，且证书原件执业单位必须与工程审计咨询单位单位一致，不一致的不予计分。证书中未载明执业单位的，必须提供近三个月在本单位缴纳养老保险的证明原件，否则不予计分。相应复印件做入投标文件。</w:t>
            </w:r>
          </w:p>
        </w:tc>
      </w:tr>
      <w:tr w14:paraId="60403B3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tcBorders>
              <w:top w:val="single" w:color="auto" w:sz="4" w:space="0"/>
              <w:left w:val="single" w:color="auto" w:sz="4" w:space="0"/>
              <w:bottom w:val="single" w:color="auto" w:sz="4" w:space="0"/>
              <w:right w:val="single" w:color="auto" w:sz="4" w:space="0"/>
            </w:tcBorders>
            <w:vAlign w:val="center"/>
          </w:tcPr>
          <w:p w14:paraId="3D7F0471">
            <w:pPr>
              <w:spacing w:line="360" w:lineRule="auto"/>
              <w:jc w:val="center"/>
              <w:rPr>
                <w:rFonts w:ascii="宋体" w:hAnsi="宋体" w:cs="宋体"/>
                <w:szCs w:val="21"/>
              </w:rPr>
            </w:pPr>
          </w:p>
          <w:p w14:paraId="4CDA419C">
            <w:pPr>
              <w:spacing w:line="360" w:lineRule="auto"/>
              <w:jc w:val="center"/>
              <w:rPr>
                <w:rFonts w:ascii="宋体" w:hAnsi="宋体" w:cs="宋体"/>
                <w:b/>
                <w:bCs/>
                <w:szCs w:val="21"/>
              </w:rPr>
            </w:pPr>
            <w:r>
              <w:rPr>
                <w:rFonts w:hint="eastAsia" w:ascii="宋体" w:hAnsi="宋体" w:cs="宋体"/>
                <w:b/>
                <w:bCs/>
                <w:szCs w:val="21"/>
              </w:rPr>
              <w:t>企业业绩</w:t>
            </w:r>
          </w:p>
          <w:p w14:paraId="6C13E05A">
            <w:pPr>
              <w:spacing w:line="360" w:lineRule="auto"/>
              <w:jc w:val="center"/>
              <w:rPr>
                <w:rFonts w:ascii="宋体" w:hAnsi="宋体" w:cs="宋体"/>
                <w:szCs w:val="21"/>
              </w:rPr>
            </w:pPr>
            <w:r>
              <w:rPr>
                <w:rFonts w:ascii="宋体" w:hAnsi="宋体" w:cs="宋体"/>
                <w:b/>
                <w:bCs/>
                <w:szCs w:val="21"/>
              </w:rPr>
              <w:t>1</w:t>
            </w:r>
            <w:r>
              <w:rPr>
                <w:rFonts w:hint="eastAsia" w:ascii="宋体" w:hAnsi="宋体" w:cs="宋体"/>
                <w:b/>
                <w:bCs/>
                <w:szCs w:val="21"/>
              </w:rPr>
              <w:t>0</w:t>
            </w:r>
          </w:p>
        </w:tc>
        <w:tc>
          <w:tcPr>
            <w:tcW w:w="7543" w:type="dxa"/>
            <w:tcBorders>
              <w:top w:val="single" w:color="auto" w:sz="4" w:space="0"/>
              <w:left w:val="single" w:color="auto" w:sz="4" w:space="0"/>
              <w:bottom w:val="single" w:color="auto" w:sz="4" w:space="0"/>
              <w:right w:val="single" w:color="auto" w:sz="4" w:space="0"/>
            </w:tcBorders>
            <w:vAlign w:val="center"/>
          </w:tcPr>
          <w:p w14:paraId="5192BF00">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工程审计咨询单位自2023年1月1日至今（以合同签订日期为准），工程审计咨询单位承担过的学校</w:t>
            </w:r>
            <w:r>
              <w:rPr>
                <w:rFonts w:hint="eastAsia" w:hAnsi="宋体" w:cs="宋体"/>
                <w:color w:val="000000"/>
                <w:sz w:val="21"/>
                <w:szCs w:val="21"/>
                <w:lang w:val="en-US" w:eastAsia="zh-CN"/>
              </w:rPr>
              <w:t>项目</w:t>
            </w:r>
            <w:r>
              <w:rPr>
                <w:rFonts w:hint="eastAsia" w:hAnsi="宋体" w:cs="宋体"/>
                <w:color w:val="000000"/>
                <w:sz w:val="21"/>
                <w:szCs w:val="21"/>
                <w:lang w:eastAsia="zh-CN"/>
              </w:rPr>
              <w:t>工程类似业绩，每个2分，本项最高得10分。</w:t>
            </w:r>
          </w:p>
          <w:p w14:paraId="05B648D5">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必须提供合同原件，否则不予计分。合同内容不明确的不予计分。</w:t>
            </w:r>
          </w:p>
          <w:p w14:paraId="3D14C116">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响应文件业绩一览表中需提供真实有效的合同甲方联系人及电话。</w:t>
            </w:r>
          </w:p>
        </w:tc>
      </w:tr>
      <w:tr w14:paraId="0F57E31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vMerge w:val="restart"/>
            <w:tcBorders>
              <w:top w:val="single" w:color="auto" w:sz="4" w:space="0"/>
              <w:left w:val="single" w:color="auto" w:sz="4" w:space="0"/>
              <w:bottom w:val="single" w:color="auto" w:sz="4" w:space="0"/>
              <w:right w:val="single" w:color="auto" w:sz="4" w:space="0"/>
            </w:tcBorders>
            <w:vAlign w:val="center"/>
          </w:tcPr>
          <w:p w14:paraId="1B2B843F">
            <w:pPr>
              <w:spacing w:line="360" w:lineRule="auto"/>
              <w:jc w:val="center"/>
              <w:rPr>
                <w:rFonts w:ascii="宋体" w:hAnsi="宋体" w:cs="宋体"/>
                <w:b/>
                <w:bCs/>
                <w:szCs w:val="21"/>
              </w:rPr>
            </w:pPr>
            <w:r>
              <w:rPr>
                <w:rFonts w:hint="eastAsia" w:ascii="宋体" w:hAnsi="宋体" w:cs="宋体"/>
                <w:b/>
                <w:bCs/>
                <w:szCs w:val="21"/>
              </w:rPr>
              <w:t>服务方案</w:t>
            </w:r>
          </w:p>
          <w:p w14:paraId="6F7D1643">
            <w:pPr>
              <w:spacing w:line="360" w:lineRule="auto"/>
              <w:jc w:val="center"/>
              <w:rPr>
                <w:rFonts w:ascii="宋体" w:hAnsi="宋体" w:cs="宋体"/>
                <w:b/>
                <w:bCs/>
                <w:szCs w:val="21"/>
              </w:rPr>
            </w:pPr>
            <w:r>
              <w:rPr>
                <w:rFonts w:ascii="宋体" w:hAnsi="宋体" w:cs="宋体"/>
                <w:b/>
                <w:bCs/>
                <w:szCs w:val="21"/>
              </w:rPr>
              <w:t>20</w:t>
            </w:r>
          </w:p>
        </w:tc>
        <w:tc>
          <w:tcPr>
            <w:tcW w:w="7543" w:type="dxa"/>
            <w:tcBorders>
              <w:top w:val="single" w:color="auto" w:sz="4" w:space="0"/>
              <w:left w:val="single" w:color="auto" w:sz="4" w:space="0"/>
              <w:bottom w:val="single" w:color="auto" w:sz="4" w:space="0"/>
              <w:right w:val="single" w:color="auto" w:sz="4" w:space="0"/>
            </w:tcBorders>
            <w:vAlign w:val="center"/>
          </w:tcPr>
          <w:p w14:paraId="2CCBFD14">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指导思想和总体目标</w:t>
            </w:r>
          </w:p>
          <w:p w14:paraId="52FB577B">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比较评价工程审计咨询单位的审计工作指导思想和总体目标符合国家现行审计政策、方针，内容全面，与本项目实际相符合，服务目标严格、起点高，措施合理，针对性强得5分；差的得3分。</w:t>
            </w:r>
          </w:p>
        </w:tc>
      </w:tr>
      <w:tr w14:paraId="1F9AEC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vMerge w:val="continue"/>
            <w:tcBorders>
              <w:top w:val="single" w:color="auto" w:sz="4" w:space="0"/>
              <w:left w:val="single" w:color="auto" w:sz="4" w:space="0"/>
              <w:bottom w:val="single" w:color="auto" w:sz="4" w:space="0"/>
              <w:right w:val="single" w:color="auto" w:sz="4" w:space="0"/>
            </w:tcBorders>
            <w:vAlign w:val="center"/>
          </w:tcPr>
          <w:p w14:paraId="39AF1E21">
            <w:pPr>
              <w:spacing w:line="360" w:lineRule="auto"/>
              <w:jc w:val="center"/>
              <w:rPr>
                <w:rFonts w:ascii="宋体" w:hAnsi="宋体" w:cs="宋体"/>
                <w:b/>
                <w:bCs/>
                <w:szCs w:val="21"/>
                <w:lang w:eastAsia="zh-CN"/>
              </w:rPr>
            </w:pPr>
          </w:p>
        </w:tc>
        <w:tc>
          <w:tcPr>
            <w:tcW w:w="7543" w:type="dxa"/>
            <w:tcBorders>
              <w:top w:val="single" w:color="auto" w:sz="4" w:space="0"/>
              <w:left w:val="single" w:color="auto" w:sz="4" w:space="0"/>
              <w:bottom w:val="single" w:color="auto" w:sz="4" w:space="0"/>
              <w:right w:val="single" w:color="auto" w:sz="4" w:space="0"/>
            </w:tcBorders>
            <w:vAlign w:val="center"/>
          </w:tcPr>
          <w:p w14:paraId="0E23A3BF">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质量控制管理</w:t>
            </w:r>
          </w:p>
          <w:p w14:paraId="084D7C01">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比较评价工程审计咨询单位对整个审计过程建立健全的质量控制体系，质量保证措施情况；体系完整，措施得当，合理可行的得5分；方案不完整、措施不得当得3分。</w:t>
            </w:r>
          </w:p>
        </w:tc>
      </w:tr>
      <w:tr w14:paraId="7DB288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vMerge w:val="continue"/>
            <w:tcBorders>
              <w:top w:val="single" w:color="auto" w:sz="4" w:space="0"/>
              <w:left w:val="single" w:color="auto" w:sz="4" w:space="0"/>
              <w:bottom w:val="single" w:color="auto" w:sz="4" w:space="0"/>
              <w:right w:val="single" w:color="auto" w:sz="4" w:space="0"/>
            </w:tcBorders>
            <w:vAlign w:val="center"/>
          </w:tcPr>
          <w:p w14:paraId="157E6EA0">
            <w:pPr>
              <w:spacing w:line="360" w:lineRule="auto"/>
              <w:jc w:val="center"/>
              <w:rPr>
                <w:rFonts w:ascii="宋体" w:hAnsi="宋体" w:cs="宋体"/>
                <w:b/>
                <w:bCs/>
                <w:szCs w:val="21"/>
                <w:lang w:eastAsia="zh-CN"/>
              </w:rPr>
            </w:pPr>
          </w:p>
        </w:tc>
        <w:tc>
          <w:tcPr>
            <w:tcW w:w="7543" w:type="dxa"/>
            <w:tcBorders>
              <w:top w:val="single" w:color="auto" w:sz="4" w:space="0"/>
              <w:left w:val="single" w:color="auto" w:sz="4" w:space="0"/>
              <w:bottom w:val="single" w:color="auto" w:sz="4" w:space="0"/>
              <w:right w:val="single" w:color="auto" w:sz="4" w:space="0"/>
            </w:tcBorders>
            <w:vAlign w:val="center"/>
          </w:tcPr>
          <w:p w14:paraId="2E669F68">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审计工作制度</w:t>
            </w:r>
          </w:p>
          <w:p w14:paraId="31FE23DC">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比较评价工程审计咨询单位内部工作制度；具备职业道德规范制度、执业质量控制制度、职业培训制度等，能保证审计工作高效运行的得5分；基本满足以上要求的得3分。</w:t>
            </w:r>
          </w:p>
        </w:tc>
      </w:tr>
      <w:tr w14:paraId="633E19A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vMerge w:val="continue"/>
            <w:tcBorders>
              <w:top w:val="single" w:color="auto" w:sz="4" w:space="0"/>
              <w:left w:val="single" w:color="auto" w:sz="4" w:space="0"/>
              <w:bottom w:val="single" w:color="auto" w:sz="4" w:space="0"/>
              <w:right w:val="single" w:color="auto" w:sz="4" w:space="0"/>
            </w:tcBorders>
            <w:vAlign w:val="center"/>
          </w:tcPr>
          <w:p w14:paraId="453B3241">
            <w:pPr>
              <w:spacing w:line="360" w:lineRule="auto"/>
              <w:jc w:val="center"/>
              <w:rPr>
                <w:rFonts w:ascii="宋体" w:hAnsi="宋体" w:cs="宋体"/>
                <w:b/>
                <w:bCs/>
                <w:szCs w:val="21"/>
                <w:lang w:eastAsia="zh-CN"/>
              </w:rPr>
            </w:pPr>
          </w:p>
        </w:tc>
        <w:tc>
          <w:tcPr>
            <w:tcW w:w="7543" w:type="dxa"/>
            <w:tcBorders>
              <w:top w:val="single" w:color="auto" w:sz="4" w:space="0"/>
              <w:left w:val="single" w:color="auto" w:sz="4" w:space="0"/>
              <w:bottom w:val="single" w:color="auto" w:sz="4" w:space="0"/>
              <w:right w:val="single" w:color="auto" w:sz="4" w:space="0"/>
            </w:tcBorders>
            <w:vAlign w:val="center"/>
          </w:tcPr>
          <w:p w14:paraId="0B03B8C4">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比较评价工程审计咨询单位档案资料管理方案；</w:t>
            </w:r>
          </w:p>
          <w:p w14:paraId="28D3DFD1">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拥有完善的档案管理制度和体系，档案资料归档完整齐全、及时，有专门的档案资料存储场所的得2分；制度体系基本完善、资料归档基本完整的得1分。</w:t>
            </w:r>
          </w:p>
        </w:tc>
      </w:tr>
      <w:tr w14:paraId="7468EC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vMerge w:val="continue"/>
            <w:tcBorders>
              <w:top w:val="single" w:color="auto" w:sz="4" w:space="0"/>
              <w:left w:val="single" w:color="auto" w:sz="4" w:space="0"/>
              <w:bottom w:val="single" w:color="auto" w:sz="4" w:space="0"/>
              <w:right w:val="single" w:color="auto" w:sz="4" w:space="0"/>
            </w:tcBorders>
            <w:vAlign w:val="center"/>
          </w:tcPr>
          <w:p w14:paraId="606A4B58">
            <w:pPr>
              <w:spacing w:line="360" w:lineRule="auto"/>
              <w:jc w:val="center"/>
              <w:rPr>
                <w:rFonts w:ascii="宋体" w:hAnsi="宋体" w:cs="宋体"/>
                <w:b/>
                <w:bCs/>
                <w:szCs w:val="21"/>
                <w:lang w:eastAsia="zh-CN"/>
              </w:rPr>
            </w:pPr>
          </w:p>
        </w:tc>
        <w:tc>
          <w:tcPr>
            <w:tcW w:w="7543" w:type="dxa"/>
            <w:tcBorders>
              <w:top w:val="single" w:color="auto" w:sz="4" w:space="0"/>
              <w:left w:val="single" w:color="auto" w:sz="4" w:space="0"/>
              <w:bottom w:val="single" w:color="auto" w:sz="4" w:space="0"/>
              <w:right w:val="single" w:color="auto" w:sz="4" w:space="0"/>
            </w:tcBorders>
            <w:vAlign w:val="center"/>
          </w:tcPr>
          <w:p w14:paraId="68D95398">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比较评价工程审计咨询单位针对本项目所作的服务承诺，符合项目实际，有针对性，能够较好的保障采购人权益得2分；与上述标准存在一定差距得1分。</w:t>
            </w:r>
          </w:p>
        </w:tc>
      </w:tr>
      <w:tr w14:paraId="49E00DC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vMerge w:val="continue"/>
            <w:tcBorders>
              <w:top w:val="single" w:color="auto" w:sz="4" w:space="0"/>
              <w:left w:val="single" w:color="auto" w:sz="4" w:space="0"/>
              <w:bottom w:val="single" w:color="auto" w:sz="4" w:space="0"/>
              <w:right w:val="single" w:color="auto" w:sz="4" w:space="0"/>
            </w:tcBorders>
            <w:vAlign w:val="center"/>
          </w:tcPr>
          <w:p w14:paraId="783C1AA7">
            <w:pPr>
              <w:spacing w:line="360" w:lineRule="auto"/>
              <w:jc w:val="center"/>
              <w:rPr>
                <w:rFonts w:ascii="宋体" w:hAnsi="宋体" w:cs="宋体"/>
                <w:b/>
                <w:bCs/>
                <w:szCs w:val="21"/>
                <w:lang w:eastAsia="zh-CN"/>
              </w:rPr>
            </w:pPr>
          </w:p>
        </w:tc>
        <w:tc>
          <w:tcPr>
            <w:tcW w:w="7543" w:type="dxa"/>
            <w:tcBorders>
              <w:top w:val="single" w:color="auto" w:sz="4" w:space="0"/>
              <w:left w:val="single" w:color="auto" w:sz="4" w:space="0"/>
              <w:bottom w:val="single" w:color="auto" w:sz="4" w:space="0"/>
              <w:right w:val="single" w:color="auto" w:sz="4" w:space="0"/>
            </w:tcBorders>
            <w:vAlign w:val="center"/>
          </w:tcPr>
          <w:p w14:paraId="34D77CEB">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工程审计咨询单位针对本项目</w:t>
            </w:r>
            <w:bookmarkStart w:id="0" w:name="_GoBack"/>
            <w:bookmarkEnd w:id="0"/>
            <w:r>
              <w:rPr>
                <w:rFonts w:hint="eastAsia" w:hAnsi="宋体" w:cs="宋体"/>
                <w:color w:val="000000"/>
                <w:sz w:val="21"/>
                <w:szCs w:val="21"/>
                <w:lang w:eastAsia="zh-CN"/>
              </w:rPr>
              <w:t>提出合理化建议情况，每有一条可行的得1分，最多得1分。</w:t>
            </w:r>
          </w:p>
        </w:tc>
      </w:tr>
      <w:tr w14:paraId="527973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vMerge w:val="continue"/>
            <w:tcBorders>
              <w:top w:val="single" w:color="auto" w:sz="4" w:space="0"/>
              <w:left w:val="single" w:color="auto" w:sz="4" w:space="0"/>
              <w:bottom w:val="single" w:color="auto" w:sz="4" w:space="0"/>
              <w:right w:val="single" w:color="auto" w:sz="4" w:space="0"/>
            </w:tcBorders>
            <w:vAlign w:val="center"/>
          </w:tcPr>
          <w:p w14:paraId="337D4CEE">
            <w:pPr>
              <w:spacing w:line="360" w:lineRule="auto"/>
              <w:jc w:val="center"/>
              <w:rPr>
                <w:rFonts w:ascii="宋体" w:hAnsi="宋体" w:cs="宋体"/>
                <w:b/>
                <w:bCs/>
                <w:szCs w:val="21"/>
                <w:lang w:eastAsia="zh-CN"/>
              </w:rPr>
            </w:pPr>
          </w:p>
        </w:tc>
        <w:tc>
          <w:tcPr>
            <w:tcW w:w="7543" w:type="dxa"/>
            <w:tcBorders>
              <w:top w:val="single" w:color="auto" w:sz="4" w:space="0"/>
              <w:left w:val="single" w:color="auto" w:sz="4" w:space="0"/>
              <w:bottom w:val="single" w:color="auto" w:sz="4" w:space="0"/>
              <w:right w:val="single" w:color="auto" w:sz="4" w:space="0"/>
            </w:tcBorders>
            <w:vAlign w:val="center"/>
          </w:tcPr>
          <w:p w14:paraId="68FD24CB">
            <w:pPr>
              <w:pStyle w:val="3"/>
              <w:spacing w:after="0" w:line="312" w:lineRule="auto"/>
              <w:rPr>
                <w:rFonts w:hAnsi="宋体" w:cs="宋体"/>
                <w:color w:val="000000"/>
                <w:sz w:val="21"/>
                <w:szCs w:val="21"/>
                <w:lang w:eastAsia="zh-CN"/>
              </w:rPr>
            </w:pPr>
            <w:r>
              <w:rPr>
                <w:rFonts w:hint="eastAsia" w:hAnsi="宋体" w:cs="宋体"/>
                <w:b/>
                <w:bCs/>
                <w:color w:val="000000"/>
                <w:sz w:val="21"/>
                <w:szCs w:val="21"/>
                <w:lang w:eastAsia="zh-CN"/>
              </w:rPr>
              <w:t>注：服务方案中以上内容如果缺项，则相应部分得0分。</w:t>
            </w:r>
          </w:p>
        </w:tc>
      </w:tr>
      <w:tr w14:paraId="4C0AC89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jc w:val="center"/>
        </w:trPr>
        <w:tc>
          <w:tcPr>
            <w:tcW w:w="1557" w:type="dxa"/>
            <w:tcBorders>
              <w:top w:val="single" w:color="auto" w:sz="4" w:space="0"/>
              <w:left w:val="single" w:color="auto" w:sz="4" w:space="0"/>
              <w:bottom w:val="single" w:color="auto" w:sz="4" w:space="0"/>
              <w:right w:val="single" w:color="auto" w:sz="4" w:space="0"/>
            </w:tcBorders>
            <w:vAlign w:val="center"/>
          </w:tcPr>
          <w:p w14:paraId="185F93C6">
            <w:pPr>
              <w:spacing w:line="360" w:lineRule="auto"/>
              <w:jc w:val="center"/>
              <w:rPr>
                <w:rFonts w:ascii="宋体" w:hAnsi="宋体" w:cs="宋体"/>
                <w:b/>
                <w:bCs/>
                <w:szCs w:val="21"/>
              </w:rPr>
            </w:pPr>
            <w:r>
              <w:rPr>
                <w:rFonts w:hint="eastAsia" w:ascii="宋体" w:hAnsi="宋体" w:cs="宋体"/>
                <w:b/>
                <w:bCs/>
                <w:szCs w:val="21"/>
              </w:rPr>
              <w:t>负责人答辩</w:t>
            </w:r>
          </w:p>
          <w:p w14:paraId="25B4D146">
            <w:pPr>
              <w:spacing w:line="360" w:lineRule="auto"/>
              <w:jc w:val="center"/>
              <w:rPr>
                <w:rFonts w:ascii="宋体" w:hAnsi="宋体" w:cs="宋体"/>
                <w:szCs w:val="21"/>
              </w:rPr>
            </w:pPr>
            <w:r>
              <w:rPr>
                <w:rFonts w:hint="eastAsia" w:ascii="宋体" w:hAnsi="宋体" w:cs="宋体"/>
                <w:b/>
                <w:bCs/>
                <w:szCs w:val="21"/>
              </w:rPr>
              <w:t>10</w:t>
            </w:r>
          </w:p>
        </w:tc>
        <w:tc>
          <w:tcPr>
            <w:tcW w:w="7543" w:type="dxa"/>
            <w:tcBorders>
              <w:top w:val="single" w:color="auto" w:sz="4" w:space="0"/>
              <w:left w:val="single" w:color="auto" w:sz="4" w:space="0"/>
              <w:bottom w:val="single" w:color="auto" w:sz="4" w:space="0"/>
              <w:right w:val="single" w:color="auto" w:sz="4" w:space="0"/>
            </w:tcBorders>
            <w:vAlign w:val="center"/>
          </w:tcPr>
          <w:p w14:paraId="24CD22B4">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由评委会根据本项目情况现场提问，项目负责人现场作答。</w:t>
            </w:r>
          </w:p>
          <w:p w14:paraId="6CB916AD">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根据项目负责人现场答辩情况，进行综合评分。</w:t>
            </w:r>
          </w:p>
          <w:p w14:paraId="13A7C909">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专业知识、从业经验丰富，熟悉项目情况，综合能力强的得10分；有一定专业知识和经验，基本了解项目情况的得8分；综合能力相对较弱的得6分。</w:t>
            </w:r>
          </w:p>
          <w:p w14:paraId="26D81E2F">
            <w:pPr>
              <w:pStyle w:val="3"/>
              <w:spacing w:after="0" w:line="312" w:lineRule="auto"/>
              <w:ind w:firstLine="420" w:firstLineChars="200"/>
              <w:rPr>
                <w:rFonts w:hAnsi="宋体" w:cs="宋体"/>
                <w:color w:val="000000"/>
                <w:sz w:val="21"/>
                <w:szCs w:val="21"/>
                <w:lang w:eastAsia="zh-CN"/>
              </w:rPr>
            </w:pPr>
            <w:r>
              <w:rPr>
                <w:rFonts w:hint="eastAsia" w:hAnsi="宋体" w:cs="宋体"/>
                <w:color w:val="000000"/>
                <w:sz w:val="21"/>
                <w:szCs w:val="21"/>
                <w:lang w:eastAsia="zh-CN"/>
              </w:rPr>
              <w:t>负责人不参加现场答辩的，本项得0分。</w:t>
            </w:r>
          </w:p>
        </w:tc>
      </w:tr>
    </w:tbl>
    <w:p w14:paraId="54BE28B0">
      <w:pPr>
        <w:adjustRightInd w:val="0"/>
        <w:snapToGrid w:val="0"/>
        <w:spacing w:after="0" w:line="400" w:lineRule="exact"/>
        <w:rPr>
          <w:lang w:eastAsia="zh-CN"/>
        </w:rPr>
      </w:pPr>
    </w:p>
    <w:sectPr>
      <w:footerReference r:id="rId5" w:type="default"/>
      <w:pgSz w:w="11906" w:h="16838"/>
      <w:pgMar w:top="1474" w:right="1474" w:bottom="1361"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00CAA5">
    <w:pPr>
      <w:pStyle w:val="4"/>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07C0F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C07C0F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isplayHorizontalDrawingGridEvery w:val="0"/>
  <w:displayVerticalDrawingGridEvery w:val="2"/>
  <w:characterSpacingControl w:val="compressPunctuation"/>
  <w:footnotePr>
    <w:footnote w:id="0"/>
    <w:footnote w:id="1"/>
  </w:footnotePr>
  <w:endnotePr>
    <w:endnote w:id="0"/>
    <w:endnote w:id="1"/>
  </w:endnotePr>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RlM2IxZjFkNjE0NzhhMDk3ODY0MmU0NWRkZWVhMWQifQ=="/>
  </w:docVars>
  <w:rsids>
    <w:rsidRoot w:val="00264CED"/>
    <w:rsid w:val="00027E48"/>
    <w:rsid w:val="000E5209"/>
    <w:rsid w:val="00166C92"/>
    <w:rsid w:val="001E26A5"/>
    <w:rsid w:val="00264CED"/>
    <w:rsid w:val="003814AA"/>
    <w:rsid w:val="00382898"/>
    <w:rsid w:val="00532F5B"/>
    <w:rsid w:val="00617226"/>
    <w:rsid w:val="00701B9D"/>
    <w:rsid w:val="0082675B"/>
    <w:rsid w:val="0090770C"/>
    <w:rsid w:val="00AC29D8"/>
    <w:rsid w:val="00AE75EA"/>
    <w:rsid w:val="00BA3AAD"/>
    <w:rsid w:val="00C145A7"/>
    <w:rsid w:val="00CA45C1"/>
    <w:rsid w:val="00D33D00"/>
    <w:rsid w:val="00E1768A"/>
    <w:rsid w:val="00E26004"/>
    <w:rsid w:val="00EB0C1B"/>
    <w:rsid w:val="00F4217E"/>
    <w:rsid w:val="00F616BD"/>
    <w:rsid w:val="05765F06"/>
    <w:rsid w:val="0C8F447D"/>
    <w:rsid w:val="11113D19"/>
    <w:rsid w:val="2D532C30"/>
    <w:rsid w:val="2EBA0398"/>
    <w:rsid w:val="31837ABD"/>
    <w:rsid w:val="44B73153"/>
    <w:rsid w:val="483603F5"/>
    <w:rsid w:val="50FB1468"/>
    <w:rsid w:val="55621614"/>
    <w:rsid w:val="57776ECD"/>
    <w:rsid w:val="5C63224B"/>
    <w:rsid w:val="672030DD"/>
    <w:rsid w:val="68A8247E"/>
    <w:rsid w:val="6B7C7144"/>
    <w:rsid w:val="6B9834AA"/>
    <w:rsid w:val="715E78D2"/>
    <w:rsid w:val="71A768D5"/>
    <w:rsid w:val="71DA2B8C"/>
    <w:rsid w:val="727F15E3"/>
    <w:rsid w:val="7B1858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imes New Roman"/>
      <w:sz w:val="22"/>
      <w:szCs w:val="22"/>
      <w:lang w:val="en-US" w:eastAsia="en-US" w:bidi="en-US"/>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Plain Text"/>
    <w:basedOn w:val="1"/>
    <w:qFormat/>
    <w:uiPriority w:val="0"/>
    <w:rPr>
      <w:rFonts w:ascii="宋体" w:hAnsi="Courier New"/>
      <w:sz w:val="32"/>
      <w:szCs w:val="20"/>
    </w:rPr>
  </w:style>
  <w:style w:type="paragraph" w:styleId="4">
    <w:name w:val="footer"/>
    <w:basedOn w:val="1"/>
    <w:link w:val="15"/>
    <w:qFormat/>
    <w:uiPriority w:val="0"/>
    <w:pPr>
      <w:tabs>
        <w:tab w:val="center" w:pos="4153"/>
        <w:tab w:val="right" w:pos="8306"/>
      </w:tabs>
      <w:snapToGrid w:val="0"/>
      <w:spacing w:line="240" w:lineRule="auto"/>
    </w:pPr>
    <w:rPr>
      <w:sz w:val="18"/>
      <w:szCs w:val="18"/>
    </w:rPr>
  </w:style>
  <w:style w:type="paragraph" w:styleId="5">
    <w:name w:val="header"/>
    <w:basedOn w:val="1"/>
    <w:link w:val="14"/>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customStyle="1" w:styleId="8">
    <w:name w:val="标题 41"/>
    <w:basedOn w:val="1"/>
    <w:qFormat/>
    <w:uiPriority w:val="0"/>
    <w:pPr>
      <w:keepNext/>
      <w:keepLines/>
      <w:spacing w:before="200" w:after="0"/>
      <w:outlineLvl w:val="3"/>
    </w:pPr>
    <w:rPr>
      <w:rFonts w:ascii="Cambria" w:hAnsi="Cambria"/>
      <w:b/>
      <w:bCs/>
      <w:i/>
      <w:iCs/>
      <w:color w:val="4F81BD"/>
    </w:rPr>
  </w:style>
  <w:style w:type="character" w:customStyle="1" w:styleId="9">
    <w:name w:val="默认段落字体1"/>
    <w:semiHidden/>
    <w:qFormat/>
    <w:uiPriority w:val="0"/>
  </w:style>
  <w:style w:type="table" w:customStyle="1" w:styleId="10">
    <w:name w:val="普通表格1"/>
    <w:semiHidden/>
    <w:qFormat/>
    <w:uiPriority w:val="0"/>
    <w:tblPr>
      <w:tblCellMar>
        <w:top w:w="0" w:type="dxa"/>
        <w:left w:w="0" w:type="dxa"/>
        <w:bottom w:w="0" w:type="dxa"/>
        <w:right w:w="0" w:type="dxa"/>
      </w:tblCellMar>
    </w:tblPr>
  </w:style>
  <w:style w:type="paragraph" w:customStyle="1" w:styleId="11">
    <w:name w:val="纯文本1"/>
    <w:basedOn w:val="1"/>
    <w:qFormat/>
    <w:uiPriority w:val="0"/>
    <w:pPr>
      <w:widowControl w:val="0"/>
      <w:jc w:val="both"/>
    </w:pPr>
    <w:rPr>
      <w:rFonts w:ascii="宋体" w:hAnsi="Courier New"/>
      <w:kern w:val="2"/>
      <w:sz w:val="32"/>
      <w:szCs w:val="20"/>
      <w:lang w:eastAsia="zh-CN" w:bidi="ar-SA"/>
    </w:rPr>
  </w:style>
  <w:style w:type="paragraph" w:customStyle="1" w:styleId="12">
    <w:name w:val="正文文本 21"/>
    <w:basedOn w:val="1"/>
    <w:qFormat/>
    <w:uiPriority w:val="0"/>
    <w:pPr>
      <w:spacing w:after="120" w:line="480" w:lineRule="auto"/>
    </w:pPr>
  </w:style>
  <w:style w:type="paragraph" w:customStyle="1" w:styleId="13">
    <w:name w:val="正文格式"/>
    <w:basedOn w:val="1"/>
    <w:qFormat/>
    <w:uiPriority w:val="0"/>
    <w:pPr>
      <w:snapToGrid w:val="0"/>
      <w:spacing w:line="400" w:lineRule="atLeast"/>
      <w:ind w:firstLine="482"/>
      <w:jc w:val="both"/>
    </w:pPr>
    <w:rPr>
      <w:sz w:val="24"/>
      <w:szCs w:val="24"/>
      <w:lang w:bidi="ar-SA"/>
    </w:rPr>
  </w:style>
  <w:style w:type="character" w:customStyle="1" w:styleId="14">
    <w:name w:val="页眉 字符"/>
    <w:basedOn w:val="7"/>
    <w:link w:val="5"/>
    <w:qFormat/>
    <w:uiPriority w:val="0"/>
    <w:rPr>
      <w:rFonts w:ascii="Times New Roman" w:hAnsi="Times New Roman"/>
      <w:sz w:val="18"/>
      <w:szCs w:val="18"/>
      <w:lang w:eastAsia="en-US" w:bidi="en-US"/>
    </w:rPr>
  </w:style>
  <w:style w:type="character" w:customStyle="1" w:styleId="15">
    <w:name w:val="页脚 字符"/>
    <w:basedOn w:val="7"/>
    <w:link w:val="4"/>
    <w:qFormat/>
    <w:uiPriority w:val="0"/>
    <w:rPr>
      <w:rFonts w:ascii="Times New Roman" w:hAnsi="Times New Roman"/>
      <w:sz w:val="18"/>
      <w:szCs w:val="18"/>
      <w:lang w:eastAsia="en-US" w:bidi="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1466</Words>
  <Characters>1502</Characters>
  <Lines>11</Lines>
  <Paragraphs>3</Paragraphs>
  <TotalTime>11</TotalTime>
  <ScaleCrop>false</ScaleCrop>
  <LinksUpToDate>false</LinksUpToDate>
  <CharactersWithSpaces>1503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2024-11-12T03:47:00Z</dcterms:created>
  <dc:creator>青竹</dc:creator>
  <cp:lastModifiedBy>周子琳</cp:lastModifiedBy>
  <cp:lastPrinted>2026-09-11T00:35:00Z</cp:lastPrinted>
  <dcterms:modified xsi:type="dcterms:W3CDTF">2026-09-22T06:30:30Z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43AABFA075514B05BA9E89DF8A67FEF3_13</vt:lpwstr>
  </property>
  <property fmtid="{D5CDD505-2E9C-101B-9397-08002B2CF9AE}" pid="4" name="KSOTemplateDocerSaveRecord">
    <vt:lpwstr>eyJoZGlkIjoiMTA1YTNhNTc5Mzc1ODE1OTFjZjEyMTgxNDY4NWFlNWIiLCJ1c2VySWQiOiIxNjM1MTE2MTc0In0=</vt:lpwstr>
  </property>
</Properties>
</file>